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286" w:rsidRDefault="008C5286" w:rsidP="008C5286">
      <w:pPr>
        <w:jc w:val="center"/>
        <w:rPr>
          <w:b/>
        </w:rPr>
      </w:pPr>
      <w:r>
        <w:rPr>
          <w:b/>
        </w:rPr>
        <w:t xml:space="preserve">İŞLENME ESER- PARODİ </w:t>
      </w:r>
    </w:p>
    <w:p w:rsidR="00A15E85" w:rsidRPr="008C5286" w:rsidRDefault="00A15E85" w:rsidP="008C5286">
      <w:pPr>
        <w:jc w:val="center"/>
        <w:rPr>
          <w:b/>
        </w:rPr>
      </w:pPr>
    </w:p>
    <w:p w:rsidR="008C5286" w:rsidRDefault="008C5286" w:rsidP="00A15E85">
      <w:pPr>
        <w:ind w:firstLine="567"/>
        <w:jc w:val="both"/>
      </w:pPr>
      <w:r>
        <w:t>İşlenme eser Fikir ve Sanat Eserleri Kanunu madde 6’da düzenlenmiştir. İlgili madde uyarınca “</w:t>
      </w:r>
      <w:r w:rsidR="00634AA4" w:rsidRPr="002B63AE">
        <w:rPr>
          <w:i/>
        </w:rPr>
        <w:t>diğer bir eserden istifade</w:t>
      </w:r>
      <w:r w:rsidRPr="002B63AE">
        <w:rPr>
          <w:i/>
        </w:rPr>
        <w:t xml:space="preserve"> suretiyle vücuda getirilip de bu esere nispetle müstakil olmayan</w:t>
      </w:r>
      <w:r w:rsidR="00634AA4" w:rsidRPr="002B63AE">
        <w:rPr>
          <w:i/>
        </w:rPr>
        <w:t xml:space="preserve">… </w:t>
      </w:r>
      <w:proofErr w:type="gramStart"/>
      <w:r w:rsidR="00634AA4" w:rsidRPr="002B63AE">
        <w:rPr>
          <w:i/>
        </w:rPr>
        <w:t>fikir</w:t>
      </w:r>
      <w:proofErr w:type="gramEnd"/>
      <w:r w:rsidR="00634AA4" w:rsidRPr="002B63AE">
        <w:rPr>
          <w:i/>
        </w:rPr>
        <w:t xml:space="preserve"> ve sanat mahsulleri işenmedir.</w:t>
      </w:r>
      <w:r w:rsidR="00634AA4">
        <w:t xml:space="preserve"> “ şeklinde düzenlenmiştir. FSEK m. 6’da başlıca işlenmeler sayılmış olup, kanunda yer almayan birçok işlenme ve derleme mevcuttur. Öncelikle işlenme eserin meydana gelebilmesi için mevcut olan bir eser ile arasında fark edilebilir bir bağ bulunması gerekmektedir. Yeni, bağımsız bir eser meydana gelmemektedir.</w:t>
      </w:r>
      <w:r w:rsidR="0038286D" w:rsidRPr="0038286D">
        <w:t xml:space="preserve"> </w:t>
      </w:r>
      <w:r w:rsidR="002B63AE">
        <w:t>Ayrıca bir</w:t>
      </w:r>
      <w:r w:rsidR="0038286D" w:rsidRPr="0038286D">
        <w:t xml:space="preserve"> sinema </w:t>
      </w:r>
      <w:r w:rsidR="002B63AE">
        <w:t>filminin parodisi kanunda sayılan gerekli şartları taşıması halinde</w:t>
      </w:r>
      <w:r w:rsidR="0038286D">
        <w:t xml:space="preserve"> işlenme eser söz konusu olmaktadır.</w:t>
      </w:r>
    </w:p>
    <w:p w:rsidR="004B520F" w:rsidRDefault="00634AA4" w:rsidP="00A15E85">
      <w:pPr>
        <w:ind w:firstLine="567"/>
        <w:jc w:val="both"/>
      </w:pPr>
      <w:r>
        <w:t xml:space="preserve">“ </w:t>
      </w:r>
      <w:r w:rsidRPr="00634AA4">
        <w:rPr>
          <w:i/>
        </w:rPr>
        <w:t xml:space="preserve">…Kısaltmalar, </w:t>
      </w:r>
      <w:proofErr w:type="gramStart"/>
      <w:r w:rsidRPr="00634AA4">
        <w:rPr>
          <w:i/>
        </w:rPr>
        <w:t>eklemeler,</w:t>
      </w:r>
      <w:proofErr w:type="gramEnd"/>
      <w:r w:rsidRPr="00634AA4">
        <w:rPr>
          <w:i/>
        </w:rPr>
        <w:t xml:space="preserve"> ve teknik değişiklikler gibi bağımsız eser üzerinde esaslı olmayan değişiklikler işleme sayılmaz…</w:t>
      </w:r>
      <w:r>
        <w:t>”</w:t>
      </w:r>
      <w:r>
        <w:rPr>
          <w:rStyle w:val="DipnotBavurusu"/>
        </w:rPr>
        <w:footnoteReference w:id="1"/>
      </w:r>
      <w:r>
        <w:t xml:space="preserve"> </w:t>
      </w:r>
      <w:r w:rsidR="002B63AE">
        <w:t xml:space="preserve">Ayrıca orijinal eserden bağımsız olarak yararlanılması durumunda işlenme eserden söz edilemeyecek olup, yalnızca yararlanmadan söz edilecektir. </w:t>
      </w:r>
      <w:r w:rsidR="00AB2CD9">
        <w:t>Orijinal eserden faydalanmak suretiyle bambaşka bir eser o</w:t>
      </w:r>
      <w:r w:rsidR="004B520F">
        <w:t>lması durumunda işlenme es</w:t>
      </w:r>
      <w:r w:rsidR="008239F1">
        <w:t>er olarak kabul edilemeyecek olup, işlenme eser olabilmesi için orijinal eser ile arasında bağ olması gerekmektedir.</w:t>
      </w:r>
    </w:p>
    <w:p w:rsidR="0038286D" w:rsidRDefault="0038286D" w:rsidP="00A15E85">
      <w:pPr>
        <w:ind w:firstLine="567"/>
        <w:jc w:val="both"/>
      </w:pPr>
      <w:r>
        <w:t xml:space="preserve">Yukarıda da açıkladığımız üzere bir sinema eserinin </w:t>
      </w:r>
      <w:r w:rsidR="00DA0DF8" w:rsidRPr="00DA0DF8">
        <w:t>parodisi kanunda sayılan gerekli şartları taşıması halinde</w:t>
      </w:r>
      <w:r w:rsidRPr="00DA0DF8">
        <w:t xml:space="preserve"> işl</w:t>
      </w:r>
      <w:r w:rsidR="00DA0DF8">
        <w:t xml:space="preserve">enme eser olarak söz edilmektedir. </w:t>
      </w:r>
      <w:r>
        <w:t xml:space="preserve">Ancak parodi </w:t>
      </w:r>
      <w:r w:rsidR="00DA0DF8">
        <w:t xml:space="preserve">eserin </w:t>
      </w:r>
      <w:r w:rsidR="00E20D22">
        <w:t xml:space="preserve">FSEK ve Telif Hakkı kanunu </w:t>
      </w:r>
      <w:proofErr w:type="gramStart"/>
      <w:r w:rsidR="00E20D22">
        <w:t>dahil</w:t>
      </w:r>
      <w:proofErr w:type="gramEnd"/>
      <w:r w:rsidR="00E20D22">
        <w:t xml:space="preserve"> tanımı bulunmamaktadır. Komşu Haklar Yönetmeliği m.24/f hükmünde “ </w:t>
      </w:r>
      <w:r w:rsidR="00E20D22" w:rsidRPr="0038286D">
        <w:rPr>
          <w:i/>
        </w:rPr>
        <w:t>Eser sahibinin ve bağlantılı hak sahibinin şeref, itibar ve kişilik haklarını zedelemeyecek, türünün kurallarına uyan parodi ve karikatürler</w:t>
      </w:r>
      <w:r w:rsidR="00E20D22">
        <w:t xml:space="preserve"> ”şeklinde parodiden bahsedilmektedir. Parodi eser, mevcut bir eserin komik ögeler eklenerek taklit edilmesidir. </w:t>
      </w:r>
    </w:p>
    <w:p w:rsidR="0038286D" w:rsidRDefault="0038286D" w:rsidP="00A15E85">
      <w:pPr>
        <w:ind w:firstLine="567"/>
        <w:jc w:val="both"/>
      </w:pPr>
      <w:r>
        <w:t>Parodi eserin hukuka uygun olabilmesi için gerekli bazı şartlar vardır. Öncelikle orijinal eserin mizahi, hiciv yoluyla yorumlanmasıdır. Hiciv parodi eserin esas noktası olup, orijinal eserden bağımsız bir farklı anlatım yolu içermelidir.</w:t>
      </w:r>
      <w:r w:rsidRPr="0038286D">
        <w:t xml:space="preserve"> </w:t>
      </w:r>
      <w:r>
        <w:t xml:space="preserve">Komşu Haklar Yönetmeliği m.24/f uyarınca da hiciv yoluyla anlatımda </w:t>
      </w:r>
      <w:r w:rsidRPr="0038286D">
        <w:t>eser sahibi ve bağlantılı hak sahiplerinin k</w:t>
      </w:r>
      <w:r>
        <w:t>işilik haklarını zedelememesi gerekir.</w:t>
      </w:r>
    </w:p>
    <w:p w:rsidR="00A15E85" w:rsidRDefault="0038286D" w:rsidP="00A15E85">
      <w:pPr>
        <w:ind w:firstLine="567"/>
        <w:jc w:val="both"/>
      </w:pPr>
      <w:r>
        <w:t>Avrupa İnsan Hakla</w:t>
      </w:r>
      <w:r w:rsidR="00AB2CD9">
        <w:t>rı Mahkemesinin içtihatlarına gö</w:t>
      </w:r>
      <w:r w:rsidR="00A15E85">
        <w:t xml:space="preserve">re </w:t>
      </w:r>
      <w:r>
        <w:t>parodi ifade özgürlüğü kapsamındadır.</w:t>
      </w:r>
      <w:r w:rsidR="00AB2CD9">
        <w:t xml:space="preserve"> Aynı şekilde </w:t>
      </w:r>
      <w:r w:rsidR="00A15E85">
        <w:t xml:space="preserve">AİHM’nin görüşü doğrultusunda </w:t>
      </w:r>
      <w:r w:rsidR="00DA0DF8">
        <w:t>Yargıtay</w:t>
      </w:r>
      <w:r w:rsidR="00A15E85">
        <w:t xml:space="preserve"> da aynı görüşü benimsemekte olup</w:t>
      </w:r>
      <w:r w:rsidR="00DA0DF8">
        <w:t xml:space="preserve"> parodi eser ifade özgürlüğü kapsamındadır.</w:t>
      </w:r>
      <w:r w:rsidR="00DA0DF8" w:rsidRPr="00DA0DF8">
        <w:t xml:space="preserve"> </w:t>
      </w:r>
    </w:p>
    <w:p w:rsidR="00DA0DF8" w:rsidRPr="00A15E85" w:rsidRDefault="00AB2CD9" w:rsidP="00A15E85">
      <w:pPr>
        <w:pStyle w:val="ListeParagraf"/>
        <w:numPr>
          <w:ilvl w:val="0"/>
          <w:numId w:val="8"/>
        </w:numPr>
        <w:jc w:val="both"/>
        <w:rPr>
          <w:b/>
        </w:rPr>
      </w:pPr>
      <w:r w:rsidRPr="00A15E85">
        <w:rPr>
          <w:b/>
        </w:rPr>
        <w:t xml:space="preserve">Yargıtay 11. Hukuk Dairesi 2020/5318 E. 2021/3809 K. Sayılı kararında </w:t>
      </w:r>
    </w:p>
    <w:p w:rsidR="00DA0DF8" w:rsidRDefault="00DA0DF8" w:rsidP="00A15E85">
      <w:pPr>
        <w:pStyle w:val="ListeParagraf"/>
        <w:ind w:firstLine="567"/>
        <w:jc w:val="both"/>
      </w:pPr>
    </w:p>
    <w:p w:rsidR="00A15E85" w:rsidRDefault="00AB2CD9" w:rsidP="00A15E85">
      <w:pPr>
        <w:pStyle w:val="ListeParagraf"/>
        <w:jc w:val="both"/>
      </w:pPr>
      <w:proofErr w:type="gramStart"/>
      <w:r>
        <w:t xml:space="preserve">“ </w:t>
      </w:r>
      <w:r w:rsidRPr="00DA0DF8">
        <w:rPr>
          <w:i/>
        </w:rPr>
        <w:t>dava konusu eylemde davalının gülümsetme ve </w:t>
      </w:r>
      <w:bookmarkStart w:id="0" w:name="fm"/>
      <w:bookmarkEnd w:id="0"/>
      <w:r w:rsidRPr="00DA0DF8">
        <w:rPr>
          <w:i/>
        </w:rPr>
        <w:t>parodi amaçlı karikatür kullandığı, TRIPS 13. maddesinde belirtildiği üzere söz konusu kullanımın, eserin normal kullanımına engel oluşturmadığı gibi eser sahibinin meşru haklarına zarar vermediği ve kâr amaçlı olmadığı, ayrıca sahibinin şeref ve haysiyetini ihlal eder bir yönünün de bulunmadığı gerekçesiyle davanın reddine karar verilmiştir.</w:t>
      </w:r>
      <w:r>
        <w:t xml:space="preserve"> </w:t>
      </w:r>
      <w:proofErr w:type="gramEnd"/>
      <w:r>
        <w:t>“ şeklinde değerlendirmede bulunmuştu</w:t>
      </w:r>
      <w:r w:rsidR="00DA0DF8">
        <w:t>r.</w:t>
      </w:r>
      <w:r w:rsidR="00A15E85" w:rsidRPr="00A15E85">
        <w:t xml:space="preserve"> </w:t>
      </w:r>
    </w:p>
    <w:p w:rsidR="00A15E85" w:rsidRPr="00A15E85" w:rsidRDefault="00A0549F" w:rsidP="00A15E85">
      <w:pPr>
        <w:ind w:firstLine="567"/>
        <w:jc w:val="both"/>
      </w:pPr>
      <w:r>
        <w:t>Yargıtay’ın yerleşik içtihatlarına göre</w:t>
      </w:r>
      <w:r w:rsidR="00A15E85" w:rsidRPr="00A15E85">
        <w:t xml:space="preserve"> </w:t>
      </w:r>
      <w:r w:rsidR="00A15E85">
        <w:t>parodi</w:t>
      </w:r>
      <w:r>
        <w:t xml:space="preserve"> eser,</w:t>
      </w:r>
      <w:r w:rsidR="00A15E85">
        <w:t xml:space="preserve"> kar gütme amacı taşımamalı </w:t>
      </w:r>
      <w:r w:rsidR="00A15E85" w:rsidRPr="00A15E85">
        <w:t xml:space="preserve">ve eser sahibinin </w:t>
      </w:r>
      <w:r>
        <w:t>kişiye bağlı</w:t>
      </w:r>
      <w:r w:rsidR="00A15E85" w:rsidRPr="00A15E85">
        <w:t xml:space="preserve"> haklarına zarar vermemelidir. </w:t>
      </w:r>
      <w:r w:rsidR="00A15E85">
        <w:t>Gerekli şartların taşınması durumunda ifade özgürlüğü içerisinde FSEK kapsamında herhangi bir hak ihlali taşımayacaktır.</w:t>
      </w:r>
      <w:bookmarkStart w:id="1" w:name="_GoBack"/>
      <w:bookmarkEnd w:id="1"/>
    </w:p>
    <w:p w:rsidR="004B520F" w:rsidRDefault="004B520F" w:rsidP="00A15E85">
      <w:pPr>
        <w:ind w:firstLine="567"/>
        <w:jc w:val="both"/>
      </w:pPr>
      <w:r>
        <w:t>İfade özgürlüğü kapsamında olan parodi eser sahibi, eser sahibinin haklarını zedelemeden yalnızca mizah amaçlı parodi eseri</w:t>
      </w:r>
      <w:r w:rsidR="00A15E85">
        <w:t xml:space="preserve"> meydana getirilmelidir. </w:t>
      </w:r>
      <w:r>
        <w:t>Bu hususta “</w:t>
      </w:r>
      <w:r w:rsidRPr="004B520F">
        <w:rPr>
          <w:i/>
        </w:rPr>
        <w:t xml:space="preserve">…yapılacak incelemede, ortalama bir izleyicinin değerlendirmesi yeterli değildir. İncelemeyi yapan kişi, hem bağımsız eseri </w:t>
      </w:r>
      <w:r w:rsidRPr="004B520F">
        <w:rPr>
          <w:i/>
        </w:rPr>
        <w:lastRenderedPageBreak/>
        <w:t>tanımalı, hem de parodi olduğu iddia edilen yeni eseri anlayacak düzeyde entelektüel birikime sahip olmalıdır…</w:t>
      </w:r>
      <w:r>
        <w:t>”</w:t>
      </w:r>
      <w:r>
        <w:rPr>
          <w:rStyle w:val="DipnotBavurusu"/>
        </w:rPr>
        <w:footnoteReference w:id="2"/>
      </w:r>
    </w:p>
    <w:p w:rsidR="004B520F" w:rsidRPr="00CB09B9" w:rsidRDefault="00AB2CD9" w:rsidP="00A15E85">
      <w:pPr>
        <w:ind w:firstLine="567"/>
        <w:jc w:val="both"/>
      </w:pPr>
      <w:r>
        <w:t>Sonuç olarak parodi es</w:t>
      </w:r>
      <w:r w:rsidR="00A15E85">
        <w:t xml:space="preserve">erler AİHM ve Yargıtay içtihatlarına göre ifade </w:t>
      </w:r>
      <w:proofErr w:type="gramStart"/>
      <w:r w:rsidR="00A15E85">
        <w:t xml:space="preserve">özgürlüğü </w:t>
      </w:r>
      <w:r>
        <w:t xml:space="preserve"> </w:t>
      </w:r>
      <w:r w:rsidR="00A15E85">
        <w:t>kapsamında</w:t>
      </w:r>
      <w:proofErr w:type="gramEnd"/>
      <w:r w:rsidR="00A15E85">
        <w:t xml:space="preserve"> değerlendirilmelidir. Yerleşik içtihatlara göre</w:t>
      </w:r>
      <w:r>
        <w:t xml:space="preserve"> orijinal </w:t>
      </w:r>
      <w:r w:rsidR="00A15E85">
        <w:t xml:space="preserve">sinema </w:t>
      </w:r>
      <w:r>
        <w:t>eserin p</w:t>
      </w:r>
      <w:r w:rsidR="00A15E85">
        <w:t xml:space="preserve">arodisi yapılırken mizahi ve hiciv yolu kullanılmalıdır. Orijinal eser sahibinin </w:t>
      </w:r>
      <w:r>
        <w:t>ve bağlantılı hak sahip</w:t>
      </w:r>
      <w:r w:rsidR="00A15E85">
        <w:t>lerinin kullanımını engellememeli, kişisel haklarına zarar vermemelidir. Parodi eser</w:t>
      </w:r>
      <w:r>
        <w:t xml:space="preserve"> yalnızca </w:t>
      </w:r>
      <w:r w:rsidR="00A15E85">
        <w:t>kar amacı gütmeden güldürme amacını taşımalıdır</w:t>
      </w:r>
      <w:r>
        <w:t>. İfade özgürlüğü kapsamında yukarıda belirtilen şartları taşıyan parodi eser Fikir ve Sanat Eserleri Kanunu kapsamı</w:t>
      </w:r>
      <w:r w:rsidR="00A15E85">
        <w:t>nda hak ihlali oluşturmayacaktır</w:t>
      </w:r>
      <w:r>
        <w:t>.</w:t>
      </w:r>
      <w:r w:rsidR="003B37F0">
        <w:t xml:space="preserve"> </w:t>
      </w:r>
    </w:p>
    <w:sectPr w:rsidR="004B520F" w:rsidRPr="00CB09B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EA7" w:rsidRDefault="00886EA7" w:rsidP="00634AA4">
      <w:pPr>
        <w:spacing w:after="0" w:line="240" w:lineRule="auto"/>
      </w:pPr>
      <w:r>
        <w:separator/>
      </w:r>
    </w:p>
  </w:endnote>
  <w:endnote w:type="continuationSeparator" w:id="0">
    <w:p w:rsidR="00886EA7" w:rsidRDefault="00886EA7" w:rsidP="00634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EA7" w:rsidRDefault="00886EA7" w:rsidP="00634AA4">
      <w:pPr>
        <w:spacing w:after="0" w:line="240" w:lineRule="auto"/>
      </w:pPr>
      <w:r>
        <w:separator/>
      </w:r>
    </w:p>
  </w:footnote>
  <w:footnote w:type="continuationSeparator" w:id="0">
    <w:p w:rsidR="00886EA7" w:rsidRDefault="00886EA7" w:rsidP="00634AA4">
      <w:pPr>
        <w:spacing w:after="0" w:line="240" w:lineRule="auto"/>
      </w:pPr>
      <w:r>
        <w:continuationSeparator/>
      </w:r>
    </w:p>
  </w:footnote>
  <w:footnote w:id="1">
    <w:p w:rsidR="00634AA4" w:rsidRDefault="00634AA4">
      <w:pPr>
        <w:pStyle w:val="DipnotMetni"/>
      </w:pPr>
      <w:r>
        <w:rPr>
          <w:rStyle w:val="DipnotBavurusu"/>
        </w:rPr>
        <w:footnoteRef/>
      </w:r>
      <w:r>
        <w:t xml:space="preserve"> Nal/Suluk Fikri</w:t>
      </w:r>
      <w:r w:rsidR="004B520F">
        <w:t xml:space="preserve"> Mülkiyet Hukuku s.73</w:t>
      </w:r>
    </w:p>
  </w:footnote>
  <w:footnote w:id="2">
    <w:p w:rsidR="004B520F" w:rsidRDefault="004B520F">
      <w:pPr>
        <w:pStyle w:val="DipnotMetni"/>
      </w:pPr>
      <w:r>
        <w:rPr>
          <w:rStyle w:val="DipnotBavurusu"/>
        </w:rPr>
        <w:footnoteRef/>
      </w:r>
      <w:r>
        <w:t xml:space="preserve"> Nal/Suluk Fikri Mülkiyet Hukuku s. 77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7A9E"/>
    <w:multiLevelType w:val="hybridMultilevel"/>
    <w:tmpl w:val="86D61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82364F"/>
    <w:multiLevelType w:val="hybridMultilevel"/>
    <w:tmpl w:val="84AE75C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 w15:restartNumberingAfterBreak="0">
    <w:nsid w:val="4BB828C5"/>
    <w:multiLevelType w:val="hybridMultilevel"/>
    <w:tmpl w:val="AFBC63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E414A3F"/>
    <w:multiLevelType w:val="hybridMultilevel"/>
    <w:tmpl w:val="3D30D72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5A23464B"/>
    <w:multiLevelType w:val="hybridMultilevel"/>
    <w:tmpl w:val="F49EFF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F93195F"/>
    <w:multiLevelType w:val="hybridMultilevel"/>
    <w:tmpl w:val="2FD69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C344A0"/>
    <w:multiLevelType w:val="hybridMultilevel"/>
    <w:tmpl w:val="DCDEBF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304603"/>
    <w:multiLevelType w:val="hybridMultilevel"/>
    <w:tmpl w:val="3DDA2A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6"/>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9B9"/>
    <w:rsid w:val="000A6525"/>
    <w:rsid w:val="000D3E7A"/>
    <w:rsid w:val="002B63AE"/>
    <w:rsid w:val="0038286D"/>
    <w:rsid w:val="003B37F0"/>
    <w:rsid w:val="004408AE"/>
    <w:rsid w:val="004B520F"/>
    <w:rsid w:val="00634AA4"/>
    <w:rsid w:val="007D4735"/>
    <w:rsid w:val="008239F1"/>
    <w:rsid w:val="00886EA7"/>
    <w:rsid w:val="008C5286"/>
    <w:rsid w:val="00A0549F"/>
    <w:rsid w:val="00A15E85"/>
    <w:rsid w:val="00AB2CD9"/>
    <w:rsid w:val="00CB09B9"/>
    <w:rsid w:val="00D84BC8"/>
    <w:rsid w:val="00DA0DF8"/>
    <w:rsid w:val="00DE384C"/>
    <w:rsid w:val="00E04E99"/>
    <w:rsid w:val="00E20D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E2AE7"/>
  <w15:chartTrackingRefBased/>
  <w15:docId w15:val="{950B99A6-1D79-489D-897A-2239C833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B09B9"/>
    <w:rPr>
      <w:rFonts w:ascii="Times New Roman" w:hAnsi="Times New Roman" w:cs="Times New Roman"/>
      <w:sz w:val="24"/>
      <w:szCs w:val="24"/>
    </w:rPr>
  </w:style>
  <w:style w:type="character" w:styleId="Kpr">
    <w:name w:val="Hyperlink"/>
    <w:basedOn w:val="VarsaylanParagrafYazTipi"/>
    <w:uiPriority w:val="99"/>
    <w:unhideWhenUsed/>
    <w:rsid w:val="00CB09B9"/>
    <w:rPr>
      <w:color w:val="0000FF"/>
      <w:u w:val="single"/>
    </w:rPr>
  </w:style>
  <w:style w:type="paragraph" w:styleId="DipnotMetni">
    <w:name w:val="footnote text"/>
    <w:basedOn w:val="Normal"/>
    <w:link w:val="DipnotMetniChar"/>
    <w:uiPriority w:val="99"/>
    <w:semiHidden/>
    <w:unhideWhenUsed/>
    <w:rsid w:val="00634AA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34AA4"/>
    <w:rPr>
      <w:sz w:val="20"/>
      <w:szCs w:val="20"/>
    </w:rPr>
  </w:style>
  <w:style w:type="character" w:styleId="DipnotBavurusu">
    <w:name w:val="footnote reference"/>
    <w:basedOn w:val="VarsaylanParagrafYazTipi"/>
    <w:uiPriority w:val="99"/>
    <w:semiHidden/>
    <w:unhideWhenUsed/>
    <w:rsid w:val="00634AA4"/>
    <w:rPr>
      <w:vertAlign w:val="superscript"/>
    </w:rPr>
  </w:style>
  <w:style w:type="paragraph" w:styleId="ListeParagraf">
    <w:name w:val="List Paragraph"/>
    <w:basedOn w:val="Normal"/>
    <w:uiPriority w:val="34"/>
    <w:qFormat/>
    <w:rsid w:val="00E20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70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A736C-199D-4301-82FF-6D0F8EE19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 erdem</dc:creator>
  <cp:keywords/>
  <dc:description/>
  <cp:lastModifiedBy>bartu erdem</cp:lastModifiedBy>
  <cp:revision>7</cp:revision>
  <dcterms:created xsi:type="dcterms:W3CDTF">2025-04-30T12:26:00Z</dcterms:created>
  <dcterms:modified xsi:type="dcterms:W3CDTF">2025-05-02T11:09:00Z</dcterms:modified>
</cp:coreProperties>
</file>